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38533F">
        <w:rPr>
          <w:b/>
          <w:i/>
          <w:noProof/>
          <w:sz w:val="28"/>
        </w:rPr>
        <w:t>0419</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23BE5">
            <w:pPr>
              <w:pStyle w:val="CRCoverPage"/>
              <w:spacing w:after="0"/>
              <w:jc w:val="right"/>
              <w:rPr>
                <w:b/>
                <w:noProof/>
                <w:sz w:val="28"/>
              </w:rPr>
            </w:pPr>
            <w:r>
              <w:rPr>
                <w:b/>
                <w:noProof/>
                <w:sz w:val="28"/>
              </w:rPr>
              <w:t>23.</w:t>
            </w:r>
            <w:r w:rsidR="00C3648B">
              <w:rPr>
                <w:b/>
                <w:noProof/>
                <w:sz w:val="28"/>
              </w:rPr>
              <w:t>50</w:t>
            </w:r>
            <w:r w:rsidR="00523BE5">
              <w:rPr>
                <w:b/>
                <w:noProof/>
                <w:sz w:val="28"/>
              </w:rPr>
              <w:t>2</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609" w:rsidP="00547111">
            <w:pPr>
              <w:pStyle w:val="CRCoverPage"/>
              <w:spacing w:after="0"/>
              <w:rPr>
                <w:noProof/>
              </w:rPr>
            </w:pPr>
            <w:r>
              <w:rPr>
                <w:b/>
                <w:noProof/>
                <w:sz w:val="28"/>
              </w:rPr>
              <w:t>2008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747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0239" w:rsidP="00092B04">
            <w:pPr>
              <w:pStyle w:val="CRCoverPage"/>
              <w:spacing w:after="0"/>
              <w:ind w:left="100"/>
              <w:rPr>
                <w:noProof/>
              </w:rPr>
            </w:pPr>
            <w:r w:rsidRPr="00580239">
              <w:t>Clarification of the BDT policy re-</w:t>
            </w:r>
            <w:r w:rsidR="00056E27" w:rsidRPr="00580239">
              <w:t>negotiation</w:t>
            </w:r>
            <w:r w:rsidRPr="00580239">
              <w:t xml:space="preserve"> </w:t>
            </w:r>
            <w:r w:rsidR="00092B04">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47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36E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06BE" w:rsidTr="00547111">
        <w:tc>
          <w:tcPr>
            <w:tcW w:w="2694" w:type="dxa"/>
            <w:gridSpan w:val="2"/>
            <w:tcBorders>
              <w:top w:val="single" w:sz="4" w:space="0" w:color="auto"/>
              <w:left w:val="single" w:sz="4" w:space="0" w:color="auto"/>
            </w:tcBorders>
          </w:tcPr>
          <w:p w:rsidR="001E06BE" w:rsidRDefault="001E06BE" w:rsidP="001E0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64FE" w:rsidRDefault="00F664FE" w:rsidP="00F664FE">
            <w:pPr>
              <w:pStyle w:val="CRCoverPage"/>
              <w:spacing w:afterLines="50"/>
              <w:ind w:left="100"/>
              <w:rPr>
                <w:noProof/>
              </w:rPr>
            </w:pPr>
            <w:r w:rsidRPr="0094342E">
              <w:rPr>
                <w:noProof/>
              </w:rPr>
              <w:t xml:space="preserve">During </w:t>
            </w:r>
            <w:r>
              <w:rPr>
                <w:noProof/>
              </w:rPr>
              <w:t>the SA2#136 meeting, the Background Data Transfer (BDT) policy re-negotiation description based on the updated Network Performance analytics by NWDAF is agreed.</w:t>
            </w:r>
          </w:p>
          <w:p w:rsidR="001E06BE" w:rsidRPr="0094342E" w:rsidRDefault="00F664FE" w:rsidP="00F664FE">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Pr="001F3CF0">
              <w:t xml:space="preserve">update the </w:t>
            </w:r>
            <w:r>
              <w:t>BDT</w:t>
            </w:r>
            <w:r w:rsidRPr="001F3CF0">
              <w:t xml:space="preserve"> policy stored in the UDR for the corresponding </w:t>
            </w:r>
            <w:r>
              <w:t>B</w:t>
            </w:r>
            <w:r w:rsidRPr="001F3CF0">
              <w:t xml:space="preserve">ackground </w:t>
            </w:r>
            <w:r>
              <w:t>T</w:t>
            </w:r>
            <w:r w:rsidRPr="001F3CF0">
              <w:t xml:space="preserve">ransfer </w:t>
            </w:r>
            <w:r>
              <w:t>R</w:t>
            </w:r>
            <w:r w:rsidRPr="001F3CF0">
              <w:t>eference I</w:t>
            </w:r>
            <w:r>
              <w:t>D that has been removed in the UDR.</w:t>
            </w:r>
          </w:p>
        </w:tc>
      </w:tr>
      <w:tr w:rsidR="001E06BE" w:rsidTr="00547111">
        <w:tc>
          <w:tcPr>
            <w:tcW w:w="2694" w:type="dxa"/>
            <w:gridSpan w:val="2"/>
            <w:tcBorders>
              <w:left w:val="single" w:sz="4" w:space="0" w:color="auto"/>
            </w:tcBorders>
          </w:tcPr>
          <w:p w:rsidR="001E06BE" w:rsidRDefault="001E06BE" w:rsidP="001E06BE">
            <w:pPr>
              <w:pStyle w:val="CRCoverPage"/>
              <w:spacing w:after="0"/>
              <w:rPr>
                <w:b/>
                <w:i/>
                <w:noProof/>
                <w:sz w:val="8"/>
                <w:szCs w:val="8"/>
              </w:rPr>
            </w:pPr>
          </w:p>
        </w:tc>
        <w:tc>
          <w:tcPr>
            <w:tcW w:w="6946" w:type="dxa"/>
            <w:gridSpan w:val="9"/>
            <w:tcBorders>
              <w:right w:val="single" w:sz="4" w:space="0" w:color="auto"/>
            </w:tcBorders>
          </w:tcPr>
          <w:p w:rsidR="001E06BE" w:rsidRPr="0094342E" w:rsidRDefault="001E06BE" w:rsidP="001E06BE">
            <w:pPr>
              <w:pStyle w:val="CRCoverPage"/>
              <w:spacing w:after="0"/>
              <w:rPr>
                <w:noProof/>
                <w:sz w:val="8"/>
                <w:szCs w:val="8"/>
              </w:rPr>
            </w:pPr>
          </w:p>
        </w:tc>
      </w:tr>
      <w:tr w:rsidR="001E06BE" w:rsidTr="00547111">
        <w:tc>
          <w:tcPr>
            <w:tcW w:w="2694" w:type="dxa"/>
            <w:gridSpan w:val="2"/>
            <w:tcBorders>
              <w:left w:val="single" w:sz="4" w:space="0" w:color="auto"/>
            </w:tcBorders>
          </w:tcPr>
          <w:p w:rsidR="001E06BE" w:rsidRDefault="001E06BE" w:rsidP="001E0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06BE" w:rsidRPr="0094342E" w:rsidRDefault="006050FB" w:rsidP="002B057B">
            <w:pPr>
              <w:pStyle w:val="CRCoverPage"/>
              <w:spacing w:after="0"/>
              <w:ind w:left="100"/>
              <w:rPr>
                <w:noProof/>
              </w:rPr>
            </w:pPr>
            <w:r>
              <w:rPr>
                <w:noProof/>
              </w:rPr>
              <w:t xml:space="preserve">Clarify </w:t>
            </w:r>
            <w:r>
              <w:t>that the PCF should not remove the old BDT po</w:t>
            </w:r>
            <w:r w:rsidR="002B057B">
              <w:t>licy before it receive the new</w:t>
            </w:r>
            <w:r>
              <w:t xml:space="preserve"> selected BDT policy from the AF.</w:t>
            </w:r>
          </w:p>
        </w:tc>
      </w:tr>
      <w:tr w:rsidR="001E06BE" w:rsidTr="00547111">
        <w:tc>
          <w:tcPr>
            <w:tcW w:w="2694" w:type="dxa"/>
            <w:gridSpan w:val="2"/>
            <w:tcBorders>
              <w:left w:val="single" w:sz="4" w:space="0" w:color="auto"/>
            </w:tcBorders>
          </w:tcPr>
          <w:p w:rsidR="001E06BE" w:rsidRDefault="001E06BE" w:rsidP="001E06BE">
            <w:pPr>
              <w:pStyle w:val="CRCoverPage"/>
              <w:spacing w:after="0"/>
              <w:rPr>
                <w:b/>
                <w:i/>
                <w:noProof/>
                <w:sz w:val="8"/>
                <w:szCs w:val="8"/>
              </w:rPr>
            </w:pPr>
          </w:p>
        </w:tc>
        <w:tc>
          <w:tcPr>
            <w:tcW w:w="6946" w:type="dxa"/>
            <w:gridSpan w:val="9"/>
            <w:tcBorders>
              <w:right w:val="single" w:sz="4" w:space="0" w:color="auto"/>
            </w:tcBorders>
          </w:tcPr>
          <w:p w:rsidR="001E06BE" w:rsidRPr="0094342E" w:rsidRDefault="001E06BE" w:rsidP="001E06BE">
            <w:pPr>
              <w:pStyle w:val="CRCoverPage"/>
              <w:spacing w:after="0"/>
              <w:rPr>
                <w:noProof/>
                <w:sz w:val="8"/>
                <w:szCs w:val="8"/>
              </w:rPr>
            </w:pPr>
          </w:p>
        </w:tc>
      </w:tr>
      <w:tr w:rsidR="001E06BE" w:rsidTr="00547111">
        <w:tc>
          <w:tcPr>
            <w:tcW w:w="2694" w:type="dxa"/>
            <w:gridSpan w:val="2"/>
            <w:tcBorders>
              <w:left w:val="single" w:sz="4" w:space="0" w:color="auto"/>
              <w:bottom w:val="single" w:sz="4" w:space="0" w:color="auto"/>
            </w:tcBorders>
          </w:tcPr>
          <w:p w:rsidR="001E06BE" w:rsidRDefault="001E06BE" w:rsidP="001E0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06BE" w:rsidRPr="0094342E" w:rsidRDefault="001E06BE" w:rsidP="0086667D">
            <w:pPr>
              <w:pStyle w:val="CRCoverPage"/>
              <w:spacing w:after="0"/>
              <w:ind w:left="100"/>
              <w:rPr>
                <w:noProof/>
              </w:rPr>
            </w:pPr>
            <w:r>
              <w:rPr>
                <w:noProof/>
              </w:rPr>
              <w:t xml:space="preserve">The </w:t>
            </w:r>
            <w:r w:rsidRPr="00580239">
              <w:t>BDT policy re-negotiation</w:t>
            </w:r>
            <w:r>
              <w:t xml:space="preserve"> description is technically </w:t>
            </w:r>
            <w:r w:rsidR="0086667D">
              <w:t>incorrect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69EE" w:rsidRDefault="009E2322" w:rsidP="00B469EE">
            <w:pPr>
              <w:pStyle w:val="CRCoverPage"/>
              <w:spacing w:after="0"/>
              <w:ind w:left="100"/>
              <w:rPr>
                <w:noProof/>
              </w:rPr>
            </w:pPr>
            <w:r>
              <w:rPr>
                <w:noProof/>
              </w:rPr>
              <w:t>4.16.7.3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E1557" w:rsidRPr="00140E21" w:rsidRDefault="005E1557" w:rsidP="005E1557">
      <w:pPr>
        <w:pStyle w:val="4"/>
        <w:rPr>
          <w:lang w:eastAsia="zh-CN"/>
        </w:rPr>
      </w:pPr>
      <w:bookmarkStart w:id="4" w:name="_Toc20204244"/>
      <w:bookmarkStart w:id="5" w:name="_Toc27894936"/>
      <w:bookmarkEnd w:id="3"/>
      <w:r w:rsidRPr="00140E21">
        <w:rPr>
          <w:lang w:eastAsia="zh-CN"/>
        </w:rPr>
        <w:t>4.16.7.3</w:t>
      </w:r>
      <w:r w:rsidRPr="00140E21">
        <w:rPr>
          <w:lang w:eastAsia="zh-CN"/>
        </w:rPr>
        <w:tab/>
        <w:t>Procedure for BDT warning notification</w:t>
      </w:r>
      <w:bookmarkEnd w:id="4"/>
      <w:bookmarkEnd w:id="5"/>
    </w:p>
    <w:p w:rsidR="005E1557" w:rsidRDefault="005E1557" w:rsidP="005E1557">
      <w:pPr>
        <w:pStyle w:val="TH"/>
      </w:pPr>
      <w:r w:rsidRPr="00BA37C9">
        <w:rPr>
          <w:rFonts w:cs="Arial"/>
        </w:rPr>
        <w:object w:dxaOrig="11388" w:dyaOrig="1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534.5pt" o:ole="">
            <v:imagedata r:id="rId12" o:title=""/>
          </v:shape>
          <o:OLEObject Type="Embed" ProgID="Visio.Drawing.15" ShapeID="_x0000_i1025" DrawAspect="Content" ObjectID="_1639930331" r:id="rId13"/>
        </w:object>
      </w:r>
    </w:p>
    <w:p w:rsidR="005E1557" w:rsidRPr="00140E21" w:rsidRDefault="005E1557" w:rsidP="005E1557">
      <w:pPr>
        <w:pStyle w:val="TF"/>
        <w:rPr>
          <w:lang w:eastAsia="zh-CN"/>
        </w:rPr>
      </w:pPr>
      <w:r w:rsidRPr="00140E21">
        <w:rPr>
          <w:lang w:eastAsia="zh-CN"/>
        </w:rPr>
        <w:t>Figure 4.16.7.3-1: The procedure for BDT warning notification</w:t>
      </w:r>
    </w:p>
    <w:p w:rsidR="005E1557" w:rsidRPr="00140E21" w:rsidRDefault="005E1557" w:rsidP="005E1557">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p>
    <w:p w:rsidR="005E1557" w:rsidRPr="00140E21" w:rsidRDefault="005E1557" w:rsidP="005E1557">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 in TS</w:t>
      </w:r>
      <w:r>
        <w:rPr>
          <w:lang w:eastAsia="zh-CN"/>
        </w:rPr>
        <w:t> </w:t>
      </w:r>
      <w:r w:rsidRPr="00140E21">
        <w:rPr>
          <w:lang w:eastAsia="zh-CN"/>
        </w:rPr>
        <w:t>23.288</w:t>
      </w:r>
      <w:r>
        <w:rPr>
          <w:lang w:eastAsia="zh-CN"/>
        </w:rPr>
        <w:t> </w:t>
      </w:r>
      <w:r w:rsidRPr="00140E21">
        <w:rPr>
          <w:lang w:eastAsia="zh-CN"/>
        </w:rPr>
        <w:t>[50].</w:t>
      </w:r>
    </w:p>
    <w:p w:rsidR="005E1557" w:rsidRPr="00140E21" w:rsidRDefault="005E1557" w:rsidP="005E1557">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p>
    <w:p w:rsidR="005E1557" w:rsidRPr="00140E21" w:rsidRDefault="005E1557" w:rsidP="005E1557">
      <w:pPr>
        <w:pStyle w:val="B1"/>
        <w:rPr>
          <w:lang w:eastAsia="zh-CN"/>
        </w:rPr>
      </w:pPr>
      <w:r w:rsidRPr="00140E21">
        <w:rPr>
          <w:lang w:eastAsia="zh-CN"/>
        </w:rPr>
        <w:lastRenderedPageBreak/>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has to be calculated. </w:t>
      </w:r>
      <w:del w:id="6" w:author="hw user" w:date="2019-12-30T11:21:00Z">
        <w:r w:rsidDel="00AF7890">
          <w:rPr>
            <w:lang w:eastAsia="zh-CN"/>
          </w:rPr>
          <w:delText>The PCF removes the BDT policy from UDR.</w:delText>
        </w:r>
      </w:del>
    </w:p>
    <w:p w:rsidR="005E1557" w:rsidRDefault="005E1557" w:rsidP="005E1557">
      <w:pPr>
        <w:pStyle w:val="NO"/>
      </w:pPr>
      <w:r>
        <w:t>NOTE 1:</w:t>
      </w:r>
      <w:r>
        <w:tab/>
        <w:t>The BDT Policies that are applicable for future sessions are checked by the PCF in step 4.</w:t>
      </w:r>
    </w:p>
    <w:p w:rsidR="005E1557" w:rsidRPr="00140E21" w:rsidRDefault="005E1557" w:rsidP="005E1557">
      <w:pPr>
        <w:pStyle w:val="B1"/>
        <w:rPr>
          <w:lang w:eastAsia="zh-CN"/>
        </w:rPr>
      </w:pPr>
      <w:r w:rsidRPr="00140E21">
        <w:rPr>
          <w:lang w:eastAsia="zh-CN"/>
        </w:rPr>
        <w:t>5.</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ins w:id="7" w:author="hw user" w:date="2020-01-07T16:52:00Z">
        <w:r w:rsidR="0070417D">
          <w:rPr>
            <w:lang w:eastAsia="zh-CN"/>
          </w:rPr>
          <w:t>R</w:t>
        </w:r>
      </w:ins>
      <w:del w:id="8" w:author="hw user" w:date="2020-01-07T16:52:00Z">
        <w:r w:rsidRPr="00140E21" w:rsidDel="0070417D">
          <w:rPr>
            <w:lang w:eastAsia="zh-CN"/>
          </w:rPr>
          <w:delText>r</w:delText>
        </w:r>
      </w:del>
      <w:r w:rsidRPr="00140E21">
        <w:rPr>
          <w:lang w:eastAsia="zh-CN"/>
        </w:rPr>
        <w:t>eference ID, optionally Network Area Information, Time window</w:t>
      </w:r>
      <w:r>
        <w:rPr>
          <w:lang w:eastAsia="zh-CN"/>
        </w:rPr>
        <w:t>, list of candidate Background Data Transfer policies</w:t>
      </w:r>
      <w:r w:rsidRPr="00140E21">
        <w:rPr>
          <w:lang w:eastAsia="zh-CN"/>
        </w:rPr>
        <w:t>) service operation.</w:t>
      </w:r>
    </w:p>
    <w:p w:rsidR="005E1557" w:rsidRPr="00140E21" w:rsidRDefault="005E1557" w:rsidP="005E1557">
      <w:pPr>
        <w:pStyle w:val="B1"/>
        <w:rPr>
          <w:lang w:eastAsia="zh-CN"/>
        </w:rPr>
      </w:pPr>
      <w:r w:rsidRPr="00140E21">
        <w:rPr>
          <w:lang w:eastAsia="zh-CN"/>
        </w:rPr>
        <w:t>6.</w:t>
      </w:r>
      <w:r w:rsidRPr="00140E21">
        <w:rPr>
          <w:lang w:eastAsia="zh-CN"/>
        </w:rPr>
        <w:tab/>
        <w:t xml:space="preserve">The NEF notifies 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ins w:id="9" w:author="hw user" w:date="2020-01-07T16:52:00Z">
        <w:r w:rsidR="0070417D">
          <w:rPr>
            <w:lang w:eastAsia="zh-CN"/>
          </w:rPr>
          <w:t>R</w:t>
        </w:r>
      </w:ins>
      <w:del w:id="10" w:author="hw user" w:date="2020-01-07T16:52:00Z">
        <w:r w:rsidRPr="00140E21" w:rsidDel="0070417D">
          <w:rPr>
            <w:lang w:eastAsia="zh-CN"/>
          </w:rPr>
          <w:delText>r</w:delText>
        </w:r>
      </w:del>
      <w:r w:rsidRPr="00140E21">
        <w:rPr>
          <w:lang w:eastAsia="zh-CN"/>
        </w:rPr>
        <w:t>eference ID, optionally Network Area Information, Time window</w:t>
      </w:r>
      <w:r>
        <w:rPr>
          <w:lang w:eastAsia="zh-CN"/>
        </w:rPr>
        <w:t>, list of candidate Background Data Transfer policies</w:t>
      </w:r>
      <w:r w:rsidRPr="00140E21">
        <w:rPr>
          <w:lang w:eastAsia="zh-CN"/>
        </w:rPr>
        <w:t>) service operation.</w:t>
      </w:r>
    </w:p>
    <w:p w:rsidR="005E1557" w:rsidRDefault="005E1557" w:rsidP="005E1557">
      <w:pPr>
        <w:pStyle w:val="B1"/>
        <w:rPr>
          <w:lang w:eastAsia="zh-CN"/>
        </w:rPr>
      </w:pPr>
      <w:r>
        <w:rPr>
          <w:lang w:eastAsia="zh-CN"/>
        </w:rPr>
        <w:t>7.</w:t>
      </w:r>
      <w:r>
        <w:rPr>
          <w:lang w:eastAsia="zh-CN"/>
        </w:rPr>
        <w:tab/>
        <w:t>The AF selects one of the new Background Data Transfer policies included in the candidate list in the BDT warning notification.</w:t>
      </w:r>
    </w:p>
    <w:p w:rsidR="005E1557" w:rsidRDefault="005E1557" w:rsidP="005E1557">
      <w:pPr>
        <w:pStyle w:val="NO"/>
      </w:pPr>
      <w:r>
        <w:t>NOTE 2:</w:t>
      </w:r>
      <w:r>
        <w:tab/>
        <w:t>If the AF doesn't select any of the new Background Data Transfer policies next steps are not executed, the previously negotiated Background Data Transfer policy becomes obsolete and not applicable any longer.</w:t>
      </w:r>
    </w:p>
    <w:p w:rsidR="00AF7890" w:rsidRPr="00AF7890" w:rsidRDefault="005E1557" w:rsidP="00FB1C79">
      <w:pPr>
        <w:pStyle w:val="B1"/>
        <w:rPr>
          <w:lang w:eastAsia="zh-CN"/>
        </w:rPr>
      </w:pPr>
      <w:r>
        <w:rPr>
          <w:lang w:eastAsia="zh-CN"/>
        </w:rPr>
        <w:t>8.</w:t>
      </w:r>
      <w:r>
        <w:rPr>
          <w:lang w:eastAsia="zh-CN"/>
        </w:rPr>
        <w:tab/>
        <w:t>The steps 8-13 from clause 4.16.7.2 are executed.</w:t>
      </w:r>
      <w:ins w:id="11" w:author="hw user" w:date="2020-01-06T20:11:00Z">
        <w:r w:rsidR="00FB1C79">
          <w:rPr>
            <w:lang w:eastAsia="zh-CN"/>
          </w:rPr>
          <w:t xml:space="preserve"> </w:t>
        </w:r>
      </w:ins>
      <w:ins w:id="12" w:author="hw user" w:date="2019-12-30T11:22:00Z">
        <w:r w:rsidR="00AF7890">
          <w:t>If the AF doesn't select any of the new Background Data Transfer policies</w:t>
        </w:r>
        <w:r w:rsidR="00FC3A96">
          <w:t>, the PCF removes the BDT policy from UDR</w:t>
        </w:r>
        <w:r w:rsidR="00AF7890">
          <w:t>.</w:t>
        </w:r>
      </w:ins>
    </w:p>
    <w:p w:rsidR="005E1557" w:rsidRDefault="005E1557" w:rsidP="005E1557">
      <w:pPr>
        <w:pStyle w:val="B1"/>
        <w:rPr>
          <w:lang w:eastAsia="zh-CN"/>
        </w:rPr>
      </w:pPr>
      <w:r>
        <w:rPr>
          <w:lang w:eastAsia="zh-CN"/>
        </w:rPr>
        <w:t>9.</w:t>
      </w:r>
      <w:r>
        <w:rPr>
          <w:lang w:eastAsia="zh-CN"/>
        </w:rPr>
        <w:tab/>
        <w:t>If there is a new Background Data Transfer policy stored in the UDR, the PCF is notified by UDR and then the PCF identifies if the URSP rules to UE needs to be updated using the procedure defined in clause 4.16.12.2.</w:t>
      </w:r>
    </w:p>
    <w:p w:rsidR="008101B4" w:rsidRPr="005E1557" w:rsidRDefault="005E1557" w:rsidP="005E1557">
      <w:r w:rsidRPr="00140E21">
        <w:rPr>
          <w:lang w:eastAsia="zh-CN"/>
        </w:rPr>
        <w:t>The AF can send Reset for notification by invoking Nnef_BDTPNegotiation_Update service, when the AF requests not to receive the notification anymore. Then, the NEF invokes Npcf_BDTPolicyControl_Update service in order to provide this information for the H-PCF.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C3F" w:rsidRDefault="001A6C3F">
      <w:r>
        <w:separator/>
      </w:r>
    </w:p>
  </w:endnote>
  <w:endnote w:type="continuationSeparator" w:id="0">
    <w:p w:rsidR="001A6C3F" w:rsidRDefault="001A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C3F" w:rsidRDefault="001A6C3F">
      <w:r>
        <w:separator/>
      </w:r>
    </w:p>
  </w:footnote>
  <w:footnote w:type="continuationSeparator" w:id="0">
    <w:p w:rsidR="001A6C3F" w:rsidRDefault="001A6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2D"/>
    <w:rsid w:val="0005071C"/>
    <w:rsid w:val="00056E27"/>
    <w:rsid w:val="00076524"/>
    <w:rsid w:val="00086F9A"/>
    <w:rsid w:val="00092B04"/>
    <w:rsid w:val="000A6394"/>
    <w:rsid w:val="000B11C4"/>
    <w:rsid w:val="000B7FED"/>
    <w:rsid w:val="000C038A"/>
    <w:rsid w:val="000C6598"/>
    <w:rsid w:val="000E268E"/>
    <w:rsid w:val="000E31D5"/>
    <w:rsid w:val="000F7E2F"/>
    <w:rsid w:val="00144238"/>
    <w:rsid w:val="00145D43"/>
    <w:rsid w:val="00163853"/>
    <w:rsid w:val="001804E7"/>
    <w:rsid w:val="00192C46"/>
    <w:rsid w:val="001A08B3"/>
    <w:rsid w:val="001A6C3F"/>
    <w:rsid w:val="001A7B60"/>
    <w:rsid w:val="001B52F0"/>
    <w:rsid w:val="001B7A65"/>
    <w:rsid w:val="001E005B"/>
    <w:rsid w:val="001E06BE"/>
    <w:rsid w:val="001E41F3"/>
    <w:rsid w:val="001F3CF0"/>
    <w:rsid w:val="0026004D"/>
    <w:rsid w:val="002640DD"/>
    <w:rsid w:val="00265753"/>
    <w:rsid w:val="00275D12"/>
    <w:rsid w:val="002831F6"/>
    <w:rsid w:val="00284FEB"/>
    <w:rsid w:val="002860C4"/>
    <w:rsid w:val="0029535D"/>
    <w:rsid w:val="002B057B"/>
    <w:rsid w:val="002B5741"/>
    <w:rsid w:val="00305409"/>
    <w:rsid w:val="003609EF"/>
    <w:rsid w:val="0036231A"/>
    <w:rsid w:val="00374DD4"/>
    <w:rsid w:val="003808E9"/>
    <w:rsid w:val="0038533F"/>
    <w:rsid w:val="00385A11"/>
    <w:rsid w:val="00386DEC"/>
    <w:rsid w:val="00396DED"/>
    <w:rsid w:val="003A4E01"/>
    <w:rsid w:val="003D0156"/>
    <w:rsid w:val="003D1C35"/>
    <w:rsid w:val="003E1A36"/>
    <w:rsid w:val="003E4886"/>
    <w:rsid w:val="003E7D28"/>
    <w:rsid w:val="00403E5F"/>
    <w:rsid w:val="00410371"/>
    <w:rsid w:val="004242F1"/>
    <w:rsid w:val="00452FDC"/>
    <w:rsid w:val="004A4125"/>
    <w:rsid w:val="004B75B7"/>
    <w:rsid w:val="00514818"/>
    <w:rsid w:val="0051503E"/>
    <w:rsid w:val="0051580D"/>
    <w:rsid w:val="00523BE5"/>
    <w:rsid w:val="00524056"/>
    <w:rsid w:val="00547111"/>
    <w:rsid w:val="00580239"/>
    <w:rsid w:val="0058072F"/>
    <w:rsid w:val="00592D74"/>
    <w:rsid w:val="005E1557"/>
    <w:rsid w:val="005E2C44"/>
    <w:rsid w:val="006043D2"/>
    <w:rsid w:val="006050FB"/>
    <w:rsid w:val="00621188"/>
    <w:rsid w:val="00621EA5"/>
    <w:rsid w:val="006257ED"/>
    <w:rsid w:val="00625CC6"/>
    <w:rsid w:val="006477AA"/>
    <w:rsid w:val="00670379"/>
    <w:rsid w:val="006778AD"/>
    <w:rsid w:val="00695808"/>
    <w:rsid w:val="006A01FD"/>
    <w:rsid w:val="006B46FB"/>
    <w:rsid w:val="006C7ED0"/>
    <w:rsid w:val="006D18D3"/>
    <w:rsid w:val="006D7470"/>
    <w:rsid w:val="006E21FB"/>
    <w:rsid w:val="006E339C"/>
    <w:rsid w:val="0070388D"/>
    <w:rsid w:val="0070417D"/>
    <w:rsid w:val="00742476"/>
    <w:rsid w:val="00743A42"/>
    <w:rsid w:val="00755C14"/>
    <w:rsid w:val="00764A81"/>
    <w:rsid w:val="007700D7"/>
    <w:rsid w:val="007906FD"/>
    <w:rsid w:val="00792342"/>
    <w:rsid w:val="00793EC4"/>
    <w:rsid w:val="007977A8"/>
    <w:rsid w:val="007A1C61"/>
    <w:rsid w:val="007B512A"/>
    <w:rsid w:val="007C10A9"/>
    <w:rsid w:val="007C2097"/>
    <w:rsid w:val="007D6A07"/>
    <w:rsid w:val="007E3755"/>
    <w:rsid w:val="007F2012"/>
    <w:rsid w:val="007F7259"/>
    <w:rsid w:val="008040A8"/>
    <w:rsid w:val="008101B4"/>
    <w:rsid w:val="008212B8"/>
    <w:rsid w:val="008279FA"/>
    <w:rsid w:val="00841312"/>
    <w:rsid w:val="00847033"/>
    <w:rsid w:val="008536D0"/>
    <w:rsid w:val="008626E7"/>
    <w:rsid w:val="0086396D"/>
    <w:rsid w:val="0086667D"/>
    <w:rsid w:val="00870EE7"/>
    <w:rsid w:val="008863B9"/>
    <w:rsid w:val="008A45A6"/>
    <w:rsid w:val="008A5623"/>
    <w:rsid w:val="008E056D"/>
    <w:rsid w:val="008F686C"/>
    <w:rsid w:val="00901CAF"/>
    <w:rsid w:val="00906141"/>
    <w:rsid w:val="009148DE"/>
    <w:rsid w:val="00922BFA"/>
    <w:rsid w:val="00941E30"/>
    <w:rsid w:val="009426E0"/>
    <w:rsid w:val="0094342E"/>
    <w:rsid w:val="00943C75"/>
    <w:rsid w:val="009479E8"/>
    <w:rsid w:val="00970A49"/>
    <w:rsid w:val="009733BE"/>
    <w:rsid w:val="009741A6"/>
    <w:rsid w:val="009777D9"/>
    <w:rsid w:val="00991B88"/>
    <w:rsid w:val="009936E5"/>
    <w:rsid w:val="009A0DBB"/>
    <w:rsid w:val="009A2E81"/>
    <w:rsid w:val="009A5753"/>
    <w:rsid w:val="009A579D"/>
    <w:rsid w:val="009E2322"/>
    <w:rsid w:val="009E3297"/>
    <w:rsid w:val="009F734F"/>
    <w:rsid w:val="00A123E1"/>
    <w:rsid w:val="00A136B5"/>
    <w:rsid w:val="00A246B6"/>
    <w:rsid w:val="00A263D1"/>
    <w:rsid w:val="00A47E70"/>
    <w:rsid w:val="00A50CF0"/>
    <w:rsid w:val="00A542FF"/>
    <w:rsid w:val="00A61CC6"/>
    <w:rsid w:val="00A7671C"/>
    <w:rsid w:val="00AA2CBC"/>
    <w:rsid w:val="00AB0A1A"/>
    <w:rsid w:val="00AC3BE1"/>
    <w:rsid w:val="00AC5820"/>
    <w:rsid w:val="00AD1CD8"/>
    <w:rsid w:val="00AF1A6F"/>
    <w:rsid w:val="00AF7890"/>
    <w:rsid w:val="00B068A1"/>
    <w:rsid w:val="00B258BB"/>
    <w:rsid w:val="00B469EE"/>
    <w:rsid w:val="00B51DB3"/>
    <w:rsid w:val="00B53F68"/>
    <w:rsid w:val="00B661A1"/>
    <w:rsid w:val="00B67B97"/>
    <w:rsid w:val="00B968C8"/>
    <w:rsid w:val="00BA3EC5"/>
    <w:rsid w:val="00BA51D9"/>
    <w:rsid w:val="00BB5DFC"/>
    <w:rsid w:val="00BC0E8C"/>
    <w:rsid w:val="00BD279D"/>
    <w:rsid w:val="00BD2D16"/>
    <w:rsid w:val="00BD6BB8"/>
    <w:rsid w:val="00C160A6"/>
    <w:rsid w:val="00C33231"/>
    <w:rsid w:val="00C3648B"/>
    <w:rsid w:val="00C4648E"/>
    <w:rsid w:val="00C66BA2"/>
    <w:rsid w:val="00C95985"/>
    <w:rsid w:val="00CC5026"/>
    <w:rsid w:val="00CC68D0"/>
    <w:rsid w:val="00D01F77"/>
    <w:rsid w:val="00D03F9A"/>
    <w:rsid w:val="00D04BCB"/>
    <w:rsid w:val="00D06D51"/>
    <w:rsid w:val="00D115ED"/>
    <w:rsid w:val="00D15E43"/>
    <w:rsid w:val="00D24991"/>
    <w:rsid w:val="00D34D8A"/>
    <w:rsid w:val="00D50255"/>
    <w:rsid w:val="00D63FFF"/>
    <w:rsid w:val="00D66520"/>
    <w:rsid w:val="00D92747"/>
    <w:rsid w:val="00DC58AF"/>
    <w:rsid w:val="00DE34CF"/>
    <w:rsid w:val="00E13F3D"/>
    <w:rsid w:val="00E1682A"/>
    <w:rsid w:val="00E32339"/>
    <w:rsid w:val="00E34898"/>
    <w:rsid w:val="00E41289"/>
    <w:rsid w:val="00E533D9"/>
    <w:rsid w:val="00E61B6E"/>
    <w:rsid w:val="00E82D4D"/>
    <w:rsid w:val="00EB09B7"/>
    <w:rsid w:val="00EB6A03"/>
    <w:rsid w:val="00ED4701"/>
    <w:rsid w:val="00ED6165"/>
    <w:rsid w:val="00EE6DC5"/>
    <w:rsid w:val="00EE7D7C"/>
    <w:rsid w:val="00EF3465"/>
    <w:rsid w:val="00F25D98"/>
    <w:rsid w:val="00F300FB"/>
    <w:rsid w:val="00F56FC6"/>
    <w:rsid w:val="00F612C4"/>
    <w:rsid w:val="00F664FE"/>
    <w:rsid w:val="00F66609"/>
    <w:rsid w:val="00F70B59"/>
    <w:rsid w:val="00F85CBA"/>
    <w:rsid w:val="00F93A68"/>
    <w:rsid w:val="00FB1C79"/>
    <w:rsid w:val="00FB6386"/>
    <w:rsid w:val="00FC3A96"/>
    <w:rsid w:val="00FD4FF9"/>
    <w:rsid w:val="00FE6160"/>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NOChar">
    <w:name w:val="NO Char"/>
    <w:rsid w:val="005E1557"/>
    <w:rPr>
      <w:color w:val="000000"/>
      <w:lang w:eastAsia="ja-JP"/>
    </w:rPr>
  </w:style>
  <w:style w:type="character" w:customStyle="1" w:styleId="B1Char">
    <w:name w:val="B1 Char"/>
    <w:link w:val="B1"/>
    <w:locked/>
    <w:rsid w:val="005E1557"/>
    <w:rPr>
      <w:rFonts w:ascii="Times New Roman" w:hAnsi="Times New Roman"/>
      <w:lang w:val="en-GB" w:eastAsia="en-US"/>
    </w:rPr>
  </w:style>
  <w:style w:type="character" w:customStyle="1" w:styleId="THChar">
    <w:name w:val="TH Char"/>
    <w:link w:val="TH"/>
    <w:rsid w:val="005E1557"/>
    <w:rPr>
      <w:rFonts w:ascii="Arial" w:hAnsi="Arial"/>
      <w:b/>
      <w:lang w:val="en-GB" w:eastAsia="en-US"/>
    </w:rPr>
  </w:style>
  <w:style w:type="character" w:customStyle="1" w:styleId="TFChar">
    <w:name w:val="TF Char"/>
    <w:link w:val="TF"/>
    <w:rsid w:val="005E15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60EDE-5D56-47E2-A5F4-FDF98768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1899-12-31T23:00:00Z</cp:lastPrinted>
  <dcterms:created xsi:type="dcterms:W3CDTF">2020-01-07T08:52:00Z</dcterms:created>
  <dcterms:modified xsi:type="dcterms:W3CDTF">2020-01-07T11:26:00Z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(3)bDB1hH30+hHU/i0FC0muivzOJyjpJHl2iB/+yay1O4B45nEODT5/juJNPKnJN9WR1hc3GSWx
SP9SFEme3PdeaELZV3GdKQPYoMLYi1urjbrNa/484dd7oy1jBB0nZFWygFUzrAuz5z9j3zQV
qoY73FCcW+vEDK6XmkReg/fAsYVcXKJFmxX3MEFxDZJYhUT021YGqUpWhgnx/KeTlTHiqjxH
AoPZwuZ6IeUmyNZH/i</vt:lpwstr>
  </property>
  <property fmtid="{D5CDD505-2E9C-101B-9397-08002B2CF9AE}" pid="22" name="_2015_ms_pID_7253431">
    <vt:lpwstr>qbB0xucQAnpAmSy1oE1iHBaeHtGEsgZ5Ov8huh1MnF2v5qFxzzON56
BGQoflHmZeIKCZwpAAu7rIqe1v4w3Cn/Gn65/oXisqdFvQEsEqp4KyKk0FV1OMi2MlIt4sA5
3iWqtOfhTxfhKbSeXW7P5Qu0+apqKqD92GxZVjq0QMOKNGzJyrF2JRIxlnDE+pTpQ9Hw0rzw
8PS8F1hGdfGkwfeVLncoCadu+oeNcnYHeWd3</vt:lpwstr>
  </property>
  <property fmtid="{D5CDD505-2E9C-101B-9397-08002B2CF9AE}" pid="23" name="_2015_ms_pID_7253432">
    <vt:lpwstr>EEIihrXErQ/0nsytEwdpoFo=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